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240" w:after="240" w:line="240" w:lineRule="auto"/>
        <w:ind w:left="0" w:right="0"/>
        <w:jc w:val="both"/>
      </w:pPr>
      <w:r>
        <w:rPr>
          <w:rFonts w:ascii="times new roman" w:hAnsi="times new roman" w:eastAsia="times new roman" w:cs="times new roman"/>
          <w:b/>
          <w:bCs/>
          <w:color w:val="0000FF"/>
          <w:sz w:val="28"/>
          <w:szCs w:val="28"/>
        </w:rPr>
        <w:t xml:space="preserve">ÖZET</w:t>
      </w:r>
    </w:p>
    <w:p>
      <w:pPr>
        <w:widowControl w:val="on"/>
        <w:pBdr/>
        <w:spacing w:before="240" w:after="240" w:line="240" w:lineRule="auto"/>
        <w:ind w:left="0" w:right="0"/>
        <w:jc w:val="both"/>
      </w:pPr>
      <w:r>
        <w:rPr>
          <w:rFonts w:ascii="times new roman" w:hAnsi="times new roman" w:eastAsia="times new roman" w:cs="times new roman"/>
          <w:color w:val="000000"/>
          <w:sz w:val="24"/>
          <w:szCs w:val="24"/>
        </w:rPr>
        <w:t xml:space="preserve">Bu rapor, Karadeniz Uygulama ve Araştırma Merkezinin yıllık iç değerlendirme sürecini içermektedir. Raporun amacı, Trabzon Üniversitesi Karadeniz Uygulama ve Araştırma Merkezinin </w:t>
      </w:r>
      <w:r>
        <w:rPr>
          <w:rFonts w:ascii="times new roman" w:hAnsi="times new roman" w:eastAsia="times new roman" w:cs="times new roman"/>
          <w:i/>
          <w:iCs/>
          <w:color w:val="000000"/>
          <w:sz w:val="24"/>
          <w:szCs w:val="24"/>
        </w:rPr>
        <w:t xml:space="preserve">Liderlik, Yönetim ve Kalite, Eğitim-Öğretim, Araştırma-Geliştirme </w:t>
      </w:r>
      <w:r>
        <w:rPr>
          <w:rFonts w:ascii="times new roman" w:hAnsi="times new roman" w:eastAsia="times new roman" w:cs="times new roman"/>
          <w:color w:val="000000"/>
          <w:sz w:val="24"/>
          <w:szCs w:val="24"/>
        </w:rPr>
        <w:t xml:space="preserve">ve </w:t>
      </w:r>
      <w:r>
        <w:rPr>
          <w:rFonts w:ascii="times new roman" w:hAnsi="times new roman" w:eastAsia="times new roman" w:cs="times new roman"/>
          <w:i/>
          <w:iCs/>
          <w:color w:val="000000"/>
          <w:sz w:val="24"/>
          <w:szCs w:val="24"/>
        </w:rPr>
        <w:t xml:space="preserve">Toplumsal Katkı </w:t>
      </w:r>
      <w:r>
        <w:rPr>
          <w:rFonts w:ascii="times new roman" w:hAnsi="times new roman" w:eastAsia="times new roman" w:cs="times new roman"/>
          <w:color w:val="000000"/>
          <w:sz w:val="24"/>
          <w:szCs w:val="24"/>
        </w:rPr>
        <w:t xml:space="preserve">başlıkları altındaki güçlü ve zayıf yönlerini kanıtlarla göstermektir.</w:t>
      </w:r>
    </w:p>
    <w:p>
      <w:pPr>
        <w:widowControl w:val="on"/>
        <w:pBdr/>
        <w:spacing w:before="240" w:after="240" w:line="240" w:lineRule="auto"/>
        <w:ind w:left="0" w:right="0"/>
        <w:jc w:val="both"/>
      </w:pPr>
      <w:r>
        <w:rPr>
          <w:rFonts w:ascii="times new roman" w:hAnsi="times new roman" w:eastAsia="times new roman" w:cs="times new roman"/>
          <w:b/>
          <w:bCs/>
          <w:color w:val="0000FF"/>
          <w:sz w:val="28"/>
          <w:szCs w:val="28"/>
        </w:rPr>
        <w:t xml:space="preserve">BİRİM/ BÖLÜM HAKKINDA BİLGİLER</w:t>
      </w:r>
    </w:p>
    <w:p>
      <w:pPr>
        <w:widowControl w:val="on"/>
        <w:pBdr/>
        <w:spacing w:before="240" w:after="240" w:line="240" w:lineRule="auto"/>
        <w:ind w:left="0" w:right="0"/>
        <w:jc w:val="both"/>
      </w:pPr>
      <w:r>
        <w:rPr>
          <w:rFonts w:ascii="times new roman" w:hAnsi="times new roman" w:eastAsia="times new roman" w:cs="times new roman"/>
          <w:b/>
          <w:bCs/>
          <w:color w:val="000000"/>
          <w:sz w:val="24"/>
          <w:szCs w:val="24"/>
        </w:rPr>
        <w:t xml:space="preserve">1.İletişim Bilgileri: </w:t>
      </w:r>
      <w:r>
        <w:rPr>
          <w:rFonts w:ascii="times new roman" w:hAnsi="times new roman" w:eastAsia="times new roman" w:cs="times new roman"/>
          <w:color w:val="000000"/>
          <w:sz w:val="24"/>
          <w:szCs w:val="24"/>
        </w:rPr>
        <w:t xml:space="preserve">Prof Dr.Mehmet AKPINAR (Karadeniz Uygulama ve Araştırma Merkezi, Merkez Başkanı), Söğütlü Mahallesi, Adnan Kahveci Bulvarı, Trabzon Üniversitesi Fatih Kampüsü A Blok 3. Kat, Söğütlü/Akçaabat/Trabzon, 0462 455 13 79, e-mail: </w:t>
      </w:r>
      <w:hyperlink xmlns:r="http://schemas.openxmlformats.org/officeDocument/2006/relationships" r:id="rId11416a9eb1a943520" w:history="1">
        <w:r>
          <w:rPr>
            <w:rStyle w:val="DefaultParagraphFontPHPDOCX"/>
            <w:rFonts w:ascii="times new roman" w:hAnsi="times new roman" w:eastAsia="times new roman" w:cs="times new roman"/>
            <w:color w:val="0000CC"/>
            <w:sz w:val="24"/>
            <w:szCs w:val="24"/>
            <w:u w:val="single" w:color="000000"/>
          </w:rPr>
          <w:t xml:space="preserve">makpinar@trabzon.edu.tr</w:t>
        </w:r>
      </w:hyperlink>
      <w:r>
        <w:rPr>
          <w:rFonts w:ascii="times new roman" w:hAnsi="times new roman" w:eastAsia="times new roman" w:cs="times new roman"/>
          <w:color w:val="000000"/>
          <w:sz w:val="24"/>
          <w:szCs w:val="24"/>
        </w:rPr>
        <w:t xml:space="preserve">  .</w:t>
      </w:r>
    </w:p>
    <w:p>
      <w:pPr>
        <w:widowControl w:val="on"/>
        <w:pBdr/>
        <w:spacing w:before="240" w:after="240" w:line="240" w:lineRule="auto"/>
        <w:ind w:left="0" w:right="0"/>
        <w:jc w:val="both"/>
      </w:pPr>
      <w:r>
        <w:rPr>
          <w:rFonts w:ascii="times new roman" w:hAnsi="times new roman" w:eastAsia="times new roman" w:cs="times new roman"/>
          <w:b/>
          <w:bCs/>
          <w:color w:val="000000"/>
          <w:sz w:val="24"/>
          <w:szCs w:val="24"/>
        </w:rPr>
        <w:t xml:space="preserve">2.Tarihsel Gelişimi:</w:t>
      </w:r>
      <w:r>
        <w:rPr>
          <w:rFonts w:ascii="times new roman" w:hAnsi="times new roman" w:eastAsia="times new roman" w:cs="times new roman"/>
          <w:color w:val="000000"/>
          <w:sz w:val="24"/>
          <w:szCs w:val="24"/>
        </w:rPr>
        <w:t xml:space="preserve"> Karadeniz Uygulama ve Araştırma Merkezi, Karadeniz Bölgesi’nin kültür ve tarihiyle, ilgili bilimsel çalışmalar üretmek, yapılacak çalışmaları desteklemek ve bu çalışmaları konferans, panel, sempozyum ve yayınlar vasıtasıyla ulusal ve uluslararası alanda duyurmak amacıyla 17 Mayıs 2019 30777 Numaralı Resmi Gazetede yayınlanan Yönetmelik ile kurulmuştur. </w:t>
      </w:r>
    </w:p>
    <w:p>
      <w:pPr>
        <w:widowControl w:val="on"/>
        <w:pBdr/>
        <w:spacing w:before="240" w:after="240" w:line="240" w:lineRule="auto"/>
        <w:ind w:left="0" w:right="0"/>
        <w:jc w:val="both"/>
      </w:pPr>
      <w:r>
        <w:rPr>
          <w:rFonts w:ascii="times new roman" w:hAnsi="times new roman" w:eastAsia="times new roman" w:cs="times new roman"/>
          <w:b/>
          <w:bCs/>
          <w:color w:val="000000"/>
          <w:sz w:val="24"/>
          <w:szCs w:val="24"/>
        </w:rPr>
        <w:t xml:space="preserve">3.Misyonu, Vizyonu, Değerleri ve Hedefleri:</w:t>
      </w:r>
      <w:r>
        <w:rPr>
          <w:rFonts w:ascii="times new roman" w:hAnsi="times new roman" w:eastAsia="times new roman" w:cs="times new roman"/>
          <w:color w:val="000000"/>
          <w:sz w:val="24"/>
          <w:szCs w:val="24"/>
        </w:rPr>
        <w:t xml:space="preserve">  </w:t>
      </w:r>
    </w:p>
    <w:p>
      <w:pPr>
        <w:widowControl w:val="on"/>
        <w:pBdr/>
        <w:spacing w:before="240" w:after="240" w:line="240" w:lineRule="auto"/>
        <w:ind w:left="0" w:right="0"/>
        <w:jc w:val="both"/>
      </w:pPr>
      <w:r>
        <w:rPr>
          <w:rFonts w:ascii="times new roman" w:hAnsi="times new roman" w:eastAsia="times new roman" w:cs="times new roman"/>
          <w:b/>
          <w:bCs/>
          <w:color w:val="000000"/>
          <w:sz w:val="24"/>
          <w:szCs w:val="24"/>
        </w:rPr>
        <w:t xml:space="preserve">Misyon</w:t>
      </w:r>
    </w:p>
    <w:p>
      <w:pPr>
        <w:widowControl w:val="on"/>
        <w:pBdr/>
        <w:spacing w:before="240" w:after="240" w:line="240" w:lineRule="auto"/>
        <w:ind w:left="0" w:right="0"/>
        <w:jc w:val="both"/>
      </w:pPr>
      <w:r>
        <w:rPr>
          <w:rFonts w:ascii="times new roman" w:hAnsi="times new roman" w:eastAsia="times new roman" w:cs="times new roman"/>
          <w:color w:val="000000"/>
          <w:sz w:val="24"/>
          <w:szCs w:val="24"/>
        </w:rPr>
        <w:t xml:space="preserve">Karadeniz Kültür ve Tarihi Uygulama ve Araştırma Merkezi, Türkiye Cumhuriyeti’nin temel ilkelerine bağlı Karadeniz ve havzası ekseninde bilimsel bağlamda akademik araştırmalar yapmayı ve ülke meselelerine katkı sağlayacak çalışmalar üretmeyi ve bu çalışmalardan ulaşılan sonuçları ulusal ve uluslararası düzeyde duyurmayı hedeflemektedir.</w:t>
      </w:r>
    </w:p>
    <w:p>
      <w:pPr>
        <w:widowControl w:val="on"/>
        <w:pBdr/>
        <w:spacing w:before="240" w:after="240" w:line="240" w:lineRule="auto"/>
        <w:ind w:left="0" w:right="0"/>
        <w:jc w:val="both"/>
      </w:pPr>
      <w:r>
        <w:rPr>
          <w:rFonts w:ascii="times new roman" w:hAnsi="times new roman" w:eastAsia="times new roman" w:cs="times new roman"/>
          <w:b/>
          <w:bCs/>
          <w:color w:val="000000"/>
          <w:sz w:val="24"/>
          <w:szCs w:val="24"/>
        </w:rPr>
        <w:t xml:space="preserve">Vizyon</w:t>
      </w:r>
    </w:p>
    <w:p>
      <w:pPr>
        <w:widowControl w:val="on"/>
        <w:pBdr/>
        <w:spacing w:before="240" w:after="240" w:line="240" w:lineRule="auto"/>
        <w:ind w:left="0" w:right="0"/>
        <w:jc w:val="both"/>
      </w:pPr>
      <w:r>
        <w:rPr>
          <w:rFonts w:ascii="times new roman" w:hAnsi="times new roman" w:eastAsia="times new roman" w:cs="times new roman"/>
          <w:color w:val="000000"/>
          <w:sz w:val="24"/>
          <w:szCs w:val="24"/>
        </w:rPr>
        <w:t xml:space="preserve">Karadeniz Kültür ve Tarihi Uygulama ve Araştırma Merkezi, ülkemizin ve üniversitemizin Karadeniz Bölgesi ve havzası ile olan ilişkilerine, düzenleyeceği bilimsel etkinlikler ve yapacağı akademik yayınlar ile katkı yapmayı amaçlamaktadır. Bu kapsamda iç ve dış paydaşlar ile koordineli bir şekilde çalışmalar yaparak, diğer ulusal ve uluslararası kuruluşlarla iş birliği içerisinde faaliyetler yürütmektedir.</w:t>
      </w:r>
    </w:p>
    <w:p>
      <w:pPr>
        <w:widowControl w:val="on"/>
        <w:pBdr/>
        <w:spacing w:before="240" w:after="240" w:line="240" w:lineRule="auto"/>
        <w:ind w:left="0" w:right="0"/>
        <w:jc w:val="both"/>
      </w:pPr>
      <w:r>
        <w:rPr>
          <w:rFonts w:ascii="times new roman" w:hAnsi="times new roman" w:eastAsia="times new roman" w:cs="times new roman"/>
          <w:b/>
          <w:bCs/>
          <w:color w:val="000000"/>
          <w:sz w:val="24"/>
          <w:szCs w:val="24"/>
        </w:rPr>
        <w:t xml:space="preserve">Merkezin Amacı</w:t>
      </w:r>
    </w:p>
    <w:p>
      <w:pPr>
        <w:widowControl w:val="on"/>
        <w:pBdr/>
        <w:spacing w:before="240" w:after="240" w:line="240" w:lineRule="auto"/>
        <w:ind w:left="0" w:right="0"/>
        <w:jc w:val="both"/>
      </w:pPr>
      <w:r>
        <w:rPr>
          <w:rFonts w:ascii="times new roman" w:hAnsi="times new roman" w:eastAsia="times new roman" w:cs="times new roman"/>
          <w:color w:val="000000"/>
          <w:sz w:val="24"/>
          <w:szCs w:val="24"/>
        </w:rPr>
        <w:t xml:space="preserve">Merkezin amacı, Karadeniz Bölgesi’nin kültür ve tarihiyle, ilgili bilimsel çalışmalar üretmek, yapılacak çalışmaları desteklemek ve bu çalışmaları konferans, panel, sempozyum ve yayınlar vasıtasıyla ulusal ve uluslararası alanda duyurmaktır.</w:t>
      </w:r>
    </w:p>
    <w:p>
      <w:pPr>
        <w:widowControl w:val="on"/>
        <w:pBdr/>
        <w:spacing w:before="240" w:after="240" w:line="240" w:lineRule="auto"/>
        <w:ind w:left="0" w:right="0"/>
        <w:jc w:val="both"/>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FF"/>
          <w:sz w:val="28"/>
          <w:szCs w:val="28"/>
        </w:rPr>
        <w:t xml:space="preserve">A. LİDERLİK, YÖNETİŞİM ve KALİTE</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A.1. Liderlik ve Kalite</w:t>
      </w:r>
      <w:r>
        <w:rPr>
          <w:rFonts w:ascii="Times New Roman" w:hAnsi="Times New Roman" w:eastAsia="Times New Roman" w:cs="Times New Roman"/>
          <w:b/>
          <w:bCs/>
          <w:color w:val="000000"/>
          <w:sz w:val="28"/>
          <w:szCs w:val="28"/>
        </w:rPr>
        <w:br/>
        <w:t xml:space="preserve">A.1.1. Yönetişim modeli ve idari yapı</w:t>
      </w:r>
    </w:p>
    <w:p>
      <w:pPr>
        <w:widowControl w:val="on"/>
        <w:pBdr/>
        <w:spacing w:before="240" w:after="240" w:line="240" w:lineRule="auto"/>
        <w:ind w:left="0" w:right="0"/>
        <w:jc w:val="both"/>
      </w:pPr>
      <w:r>
        <w:rPr>
          <w:rFonts w:ascii="Times New Roman" w:hAnsi="Times New Roman" w:eastAsia="Times New Roman" w:cs="Times New Roman"/>
          <w:color w:val="000000"/>
          <w:sz w:val="24"/>
          <w:szCs w:val="24"/>
        </w:rPr>
        <w:t xml:space="preserve">Trabzon Üniversitesi bünyesindeki Karadeniz Uygulama ve Araştırma Merkezi, Üniversitelerde Akademik Teşkilât Yönetmeliği gereğince yapılandırılmıştır. İlgili merkez yönetimi Merkez Başkanı ve Merkez Başkan Yardımcılarından oluşmaktadır.</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2 - Kurumun misyon ve stratejik hedeflerine ulaşmasını güvence altına alan ve süreçleriyle uyumlu yönetişim modeli ve idari yapılanması belirlenmiştir.</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Kanıtlar</w:t>
      </w:r>
    </w:p>
    <w:p>
      <w:pPr>
        <w:widowControl w:val="on"/>
        <w:pBdr/>
        <w:spacing w:before="240" w:after="240" w:line="240" w:lineRule="auto"/>
        <w:ind w:left="0" w:right="0"/>
        <w:jc w:val="left"/>
      </w:pPr>
      <w:hyperlink xmlns:r="http://schemas.openxmlformats.org/officeDocument/2006/relationships" r:id="rId42116a9eb1a943be1" w:history="1">
        <w:r>
          <w:rPr>
            <w:rStyle w:val="DefaultParagraphFontPHPDOCX"/>
            <w:rFonts w:ascii="Times New Roman" w:hAnsi="Times New Roman" w:eastAsia="Times New Roman" w:cs="Times New Roman"/>
            <w:color w:val="0000FF"/>
            <w:sz w:val="24"/>
            <w:szCs w:val="24"/>
            <w:u w:val="single" w:color="000000"/>
          </w:rPr>
          <w:t xml:space="preserve">(2)A.1.1._1: Kurumun misyon ve stratejik hedeflerine ulaşmasını güvence altına alan ve süreçleriyle uyumlu yönetişim modeli ve idari yapılanması bulunmaktadır.</w:t>
        </w:r>
      </w:hyperlink>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A.1.2. Liderlik</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Kurumda kalite güvencesi sisteminin yönetilmesi ve kalite kültürünün içselleştirilmesini destekleyen etkin bir liderlik yaklaşımı bulunmamaktadır.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A.1.3. Kurumsal dönüşüm kapasitesi</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Kurumda değişim yönetimi bulunmamaktadır.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A.1.4. İç kalite güvencesi mekanizmaları</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Kurumun tanımlanmış bir iç kalite güvencesi sistemi bulunmamaktadır.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A.1.5. Kamuoyunu bilgilendirme ve hesap verebilirlik</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Kurumda kamuoyunu bilgilendirmek ve hesap verebilirliği gerçekleştirmek üzere mekanizmalar bulunmamaktadır.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A.2. Misyon ve Stratejik Amaçlar</w:t>
      </w:r>
      <w:r>
        <w:rPr>
          <w:rFonts w:ascii="Times New Roman" w:hAnsi="Times New Roman" w:eastAsia="Times New Roman" w:cs="Times New Roman"/>
          <w:b/>
          <w:bCs/>
          <w:color w:val="000000"/>
          <w:sz w:val="28"/>
          <w:szCs w:val="28"/>
        </w:rPr>
        <w:br/>
        <w:t xml:space="preserve">A.2.1. Misyon, vizyon ve politikalar</w:t>
      </w:r>
    </w:p>
    <w:p>
      <w:pPr>
        <w:widowControl w:val="on"/>
        <w:pBdr/>
        <w:spacing w:before="240" w:after="240" w:line="240" w:lineRule="auto"/>
        <w:ind w:left="0" w:right="0"/>
        <w:jc w:val="both"/>
      </w:pPr>
      <w:r>
        <w:rPr>
          <w:rFonts w:ascii="Times New Roman" w:hAnsi="Times New Roman" w:eastAsia="Times New Roman" w:cs="Times New Roman"/>
          <w:color w:val="000000"/>
          <w:sz w:val="24"/>
          <w:szCs w:val="24"/>
        </w:rPr>
        <w:t xml:space="preserve">Merkezin tanımlanmış ve merkeze özgü misyon, vizyon ve politikaları bulunmaktadır. Merkezin misyon ve vizyonu web sitesinde yayımlanmıştır.</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2 - Kurumun tanımlanmış ve kuruma özgü misyon, vizyon ve politikaları bulunmaktadır.</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Kanıtlar</w:t>
      </w:r>
    </w:p>
    <w:p>
      <w:pPr>
        <w:widowControl w:val="on"/>
        <w:pBdr/>
        <w:spacing w:before="240" w:after="240" w:line="240" w:lineRule="auto"/>
        <w:ind w:left="0" w:right="0"/>
        <w:jc w:val="left"/>
      </w:pPr>
      <w:hyperlink xmlns:r="http://schemas.openxmlformats.org/officeDocument/2006/relationships" r:id="rId35646a9eb1a94443b" w:history="1">
        <w:r>
          <w:rPr>
            <w:rStyle w:val="DefaultParagraphFontPHPDOCX"/>
            <w:rFonts w:ascii="Times New Roman" w:hAnsi="Times New Roman" w:eastAsia="Times New Roman" w:cs="Times New Roman"/>
            <w:color w:val="0000FF"/>
            <w:sz w:val="24"/>
            <w:szCs w:val="24"/>
            <w:u w:val="single" w:color="000000"/>
          </w:rPr>
          <w:t xml:space="preserve">(2)A.2.1._1: Merkezin tanımlanmış ve merkeze özgü misyon, vizyon ve politikaları bulunmaktadır. Merkezin misyon ve vizyonu web sitesinde yayımlanmıştır.</w:t>
        </w:r>
      </w:hyperlink>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A.2.2. Stratejik amaç ve hedefler</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Kurumun stratejik planı bulunmamaktadır.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A.2.3. Performans yönetimi</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Kurumda performans yönetimi bulunmamaktadır.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A.3. Yönetim Sistemleri</w:t>
      </w:r>
      <w:r>
        <w:rPr>
          <w:rFonts w:ascii="Times New Roman" w:hAnsi="Times New Roman" w:eastAsia="Times New Roman" w:cs="Times New Roman"/>
          <w:b/>
          <w:bCs/>
          <w:color w:val="000000"/>
          <w:sz w:val="28"/>
          <w:szCs w:val="28"/>
        </w:rPr>
        <w:br/>
        <w:t xml:space="preserve">A.3.1. Bilgi yönetim sistemi</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Kurumda bilgi yönetim sistemi bulunmamaktadır.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A.3.2. İnsan kaynakları yönetimi</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Kurumda insan kaynakları yönetimine ilişkin tanımlı süreçler bulunmamaktadır.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A.3.3. Finansal yönetim</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Kurumda finansal kaynakların yönetimine ilişkin tanımlı süreçler bulunmamaktadır.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A.3.4. Süreç yönetimi</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Kurumda eğitim ve öğretim, araştırma ve geliştirme, toplumsal katkı ve yönetim sistemine ilişkin süreçler tanımlanmamıştır.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A.4. Paydaş Katılımı</w:t>
      </w:r>
      <w:r>
        <w:rPr>
          <w:rFonts w:ascii="Times New Roman" w:hAnsi="Times New Roman" w:eastAsia="Times New Roman" w:cs="Times New Roman"/>
          <w:b/>
          <w:bCs/>
          <w:color w:val="000000"/>
          <w:sz w:val="28"/>
          <w:szCs w:val="28"/>
        </w:rPr>
        <w:br/>
        <w:t xml:space="preserve">A.4.1. İç ve dış paydaş katılımı</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Kurumun iç kalite güvencesi sistemine paydaş katılımını sağlayacak mekanizmalar bulunmamaktadır.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A.4.2. Öğrenci geri bildirimleri</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Kurumda öğrenci geri bildirimlerinin alınmasına yönelik mekanizmalar bulunmamaktadır.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A.4.3. Mezun ilişkileri yönetimi</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Kurumda mezun izleme sistemi bulunmamaktadır.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A.5. Uluslararasılaşma</w:t>
      </w:r>
      <w:r>
        <w:rPr>
          <w:rFonts w:ascii="Times New Roman" w:hAnsi="Times New Roman" w:eastAsia="Times New Roman" w:cs="Times New Roman"/>
          <w:b/>
          <w:bCs/>
          <w:color w:val="000000"/>
          <w:sz w:val="28"/>
          <w:szCs w:val="28"/>
        </w:rPr>
        <w:br/>
        <w:t xml:space="preserve">A.5.1. Uluslararasılaşma süreçlerinin yönetimi</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Kurumun uluslararasılaşma süreçlerine ilişkin yönetsel ve organizasyonel yapılanması bulunmamaktadır.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A.5.2. Uluslararasılaşma kaynakları</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Kurumun uluslararasılaşma faaliyetlerini sürdürebilmesi için yeterli kaynak bulunmamaktadır.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A.5.3. Uluslararasılaşma performansı</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Kurumda uluslararasılaşma faaliyeti bulunmamaktadır.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FF"/>
          <w:sz w:val="28"/>
          <w:szCs w:val="28"/>
        </w:rPr>
        <w:t xml:space="preserve">B. EĞİTİM VE ÖĞRETİM</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B.1. Program Tasarımı, Değerlendirmesi ve Güncellenmesi</w:t>
      </w:r>
      <w:r>
        <w:rPr>
          <w:rFonts w:ascii="Times New Roman" w:hAnsi="Times New Roman" w:eastAsia="Times New Roman" w:cs="Times New Roman"/>
          <w:b/>
          <w:bCs/>
          <w:color w:val="000000"/>
          <w:sz w:val="28"/>
          <w:szCs w:val="28"/>
        </w:rPr>
        <w:br/>
        <w:t xml:space="preserve">B.1.1. Programların tasarımı ve onayı</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Kurumda programların tasarımı ve onayına ilişkin süreçler tanımlanmamıştır.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B.1.2. Programın ders dağılım dengesi</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Ders dağılımına ilişkin, ilke ve yöntemler tanımlanmamıştır.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B.1.3. Ders kazanımlarının program çıktılarıyla uyumu</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Ders kazanımları program çıktıları ile eşleştirilmemiştir.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B.1.4. Öğrenci iş yüküne dayalı ders tasarımı</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Dersler öğrenci iş yüküne dayalı olarak tasarlanmamıştır.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B.1.5. Programların izlenmesi ve güncellenmesi</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Program çıktılarının izlenmesine ve güncellenmesine ilişkin mekanizma bulunmamaktadır.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B.1.6. Eğitim ve öğretim süreçlerinin yönetimi</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Kurumda eğitim ve öğretim süreçlerini bütüncül olarak yönetmek üzere bir sistem bulunmamaktadır.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B.2. Programların Yürütülmesi (Öğrenci Merkezli Öğrenme, Öğretme ve Değerlendirme)</w:t>
      </w:r>
      <w:r>
        <w:rPr>
          <w:rFonts w:ascii="Times New Roman" w:hAnsi="Times New Roman" w:eastAsia="Times New Roman" w:cs="Times New Roman"/>
          <w:b/>
          <w:bCs/>
          <w:color w:val="000000"/>
          <w:sz w:val="28"/>
          <w:szCs w:val="28"/>
        </w:rPr>
        <w:br/>
        <w:t xml:space="preserve">B.2.1. Öğretim yöntem ve teknikleri</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Öğrenme-öğretme süreçlerinde öğrenci merkezli yaklaşımlar bulunmamaktadır.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B.2.2. Ölçme ve değerlendirme</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Programlarda öğrenci merkezli ölçme ve değerlendirme yaklaşımları bulunmamaktadır.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B.2.3. Öğrenci kabulü, önceki öğrenmenin tanınması ve kredilendirilmesi</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Kurumda öğrenci kabulü, önceki öğrenmenin tanınması ve kredilendirilmesine ilişkin süreçler tanımlanmamıştır.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B.2.4. Yeterliliklerin sertifikalandırılması ve diploma</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Kurumda diploma onayı ve diğer yeterliliklerin sertifikalandırılmasına ilişkin süreçler tanımlanmamıştır.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B.3. Öğrenme Kaynakları ve Akademik Destek Hizmetleri</w:t>
      </w:r>
      <w:r>
        <w:rPr>
          <w:rFonts w:ascii="Times New Roman" w:hAnsi="Times New Roman" w:eastAsia="Times New Roman" w:cs="Times New Roman"/>
          <w:b/>
          <w:bCs/>
          <w:color w:val="000000"/>
          <w:sz w:val="28"/>
          <w:szCs w:val="28"/>
        </w:rPr>
        <w:br/>
        <w:t xml:space="preserve">B.3.1. Öğrenme ortam ve kaynakları</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Kurumun eğitim-öğretim faaliyetlerini sürdürebilmek için yeterli kaynağı bulunmamaktadır.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B.3.2. Akademik destek hizmetleri</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Kurumda öğrencilerin akademik gelişimi ve kariyer planlamasına yönelik destek hizmetleri bulunmamaktadır.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B.3.3. Tesis ve altyapılar</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Kurumda uygun nitelik ve nicelikte tesisler ve altyapı bulunmamaktadır.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B.3.4. Dezavantajlı gruplar</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Kurumda dezavantajlı grupların eğitim olanaklarına erişimine ilişkin planlamalar bulunmamaktadır.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B.3.5. Sosyal, kültürel, sportif faaliyetler</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Kurumda uygun nitelik ve nicelikte sosyal, kültürel ve sportif faaliyet olanakları bulunmamaktadır.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B.4. Öğretim Kadrosu</w:t>
      </w:r>
      <w:r>
        <w:rPr>
          <w:rFonts w:ascii="Times New Roman" w:hAnsi="Times New Roman" w:eastAsia="Times New Roman" w:cs="Times New Roman"/>
          <w:b/>
          <w:bCs/>
          <w:color w:val="000000"/>
          <w:sz w:val="28"/>
          <w:szCs w:val="28"/>
        </w:rPr>
        <w:br/>
        <w:t xml:space="preserve">B.4.1. Atama, yükseltme ve görevlendirme kriterleri</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Kurumun atama, yükseltme ve görevlendirme süreçleri tanımlanmamıştır.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B.4.2. Öğretim yetkinlikleri ve gelişimi</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Kurumda öğretim elemanlarının öğretim yetkinliğini geliştirmek üzere planlamalar bulunmamaktadır.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B.4.3. Eğitim faaliyetlerine yönelik teşvik ve ödüllendirme</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Öğretim kadrosuna yönelik teşvik ve ödüllendirilme mekanizmaları bulunmamaktadır.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FF"/>
          <w:sz w:val="28"/>
          <w:szCs w:val="28"/>
        </w:rPr>
        <w:t xml:space="preserve">C. ARAŞTIRMA VE GELİŞTİRME</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C.1. Araştırma Süreçlerinin Yönetimi ve Araştırma Kaynakları</w:t>
      </w:r>
      <w:r>
        <w:rPr>
          <w:rFonts w:ascii="Times New Roman" w:hAnsi="Times New Roman" w:eastAsia="Times New Roman" w:cs="Times New Roman"/>
          <w:b/>
          <w:bCs/>
          <w:color w:val="000000"/>
          <w:sz w:val="28"/>
          <w:szCs w:val="28"/>
        </w:rPr>
        <w:br/>
        <w:t xml:space="preserve">C.1.1. Araştırma Süreçlerinin Yönetimi</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Kurumda araştırma süreçlerinin yönetimi ve organizasyonel yapısına ilişkin bir planlama bulunmamaktadır.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C.1.2. İç ve dış kaynaklar</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Kurumun araştırma ve geliştirme faaliyetlerini sürdürebilmesi için yeterli kaynağı bulunmamaktadır.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C.1.3. Doktora programları ve doktora sonrası imkanlar</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Kurumun doktora programı ve doktora sonrası imkanları bulunmamaktadır.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C.2. Araştırma Yetkinliği, İş birlikleri ve Destekler</w:t>
      </w:r>
      <w:r>
        <w:rPr>
          <w:rFonts w:ascii="Times New Roman" w:hAnsi="Times New Roman" w:eastAsia="Times New Roman" w:cs="Times New Roman"/>
          <w:b/>
          <w:bCs/>
          <w:color w:val="000000"/>
          <w:sz w:val="28"/>
          <w:szCs w:val="28"/>
        </w:rPr>
        <w:br/>
        <w:t xml:space="preserve">C.2.1. Araştırma yetkinlikleri ve gelişimi</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Kurumda, öğretim elemanlarının araştırma yetkinliğinin geliştirilmesine yönelik mekanizmalar bulunmamaktadır.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C.2.2. Ulusal ve uluslararası ortak programlar ve ortak araştırma birimleri</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Kurumda ulusal ve uluslararası düzeyde ortak programlar ve ortak araştırma birimleri oluşturma yönünde mekanizmalar bulunmamaktadır. </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C.3. Araştırma Performansı</w:t>
      </w:r>
      <w:r>
        <w:rPr>
          <w:rFonts w:ascii="Times New Roman" w:hAnsi="Times New Roman" w:eastAsia="Times New Roman" w:cs="Times New Roman"/>
          <w:b/>
          <w:bCs/>
          <w:color w:val="000000"/>
          <w:sz w:val="28"/>
          <w:szCs w:val="28"/>
        </w:rPr>
        <w:br/>
        <w:t xml:space="preserve">C.3.1. Araştırma performansının izlenmesi ve değerlendirilmesi</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Kurumda araştırma performansının izlenmesine ve değerlendirmesine yönelik mekanizmalar bulunmamaktadır.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C.3.2. Öğretim elemanı/araştırmacı performansının değerlendirilmesi</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Kurumda öğretim elemanlarının araştırma performansının izlenmesine ve değerlendirmesine yönelik mekanizmalar bulunmamaktadır.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FF"/>
          <w:sz w:val="28"/>
          <w:szCs w:val="28"/>
        </w:rPr>
        <w:t xml:space="preserve">D. TOPLUMSAL KATKI</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D.1. Toplumsal Katkı Süreçlerinin Yönetimi ve Toplumsal Katkı Kaynakları</w:t>
      </w:r>
      <w:r>
        <w:rPr>
          <w:rFonts w:ascii="Times New Roman" w:hAnsi="Times New Roman" w:eastAsia="Times New Roman" w:cs="Times New Roman"/>
          <w:b/>
          <w:bCs/>
          <w:color w:val="000000"/>
          <w:sz w:val="28"/>
          <w:szCs w:val="28"/>
        </w:rPr>
        <w:br/>
        <w:t xml:space="preserve">D.1.1. Toplumsal Katkı Süreçlerinin Yönetimi</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Kurumda toplumsal katkı süreçlerinin yönetimi ve organizasyonel yapısına ilişkin bir planlama bulunmamaktadır.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D.1.2. Kaynaklar</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Kurumun toplumsal katkı faaliyetlerini sürdürebilmesi için yeterli kaynağı bulunmamaktadır.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00"/>
          <w:sz w:val="28"/>
          <w:szCs w:val="28"/>
        </w:rPr>
        <w:t xml:space="preserve">D.2. Toplumsal Katkı Performansı</w:t>
      </w:r>
      <w:r>
        <w:rPr>
          <w:rFonts w:ascii="Times New Roman" w:hAnsi="Times New Roman" w:eastAsia="Times New Roman" w:cs="Times New Roman"/>
          <w:b/>
          <w:bCs/>
          <w:color w:val="000000"/>
          <w:sz w:val="28"/>
          <w:szCs w:val="28"/>
        </w:rPr>
        <w:br/>
        <w:t xml:space="preserve">D.2.1. Toplumsal katkı performansının izlenmesi ve değerlendirilmesi</w:t>
      </w:r>
    </w:p>
    <w:p>
      <w:pPr>
        <w:widowControl w:val="on"/>
        <w:pBdr/>
        <w:spacing w:before="240" w:after="240" w:line="240" w:lineRule="auto"/>
        <w:ind w:left="0" w:right="0"/>
        <w:jc w:val="left"/>
      </w:pPr>
      <w:r>
        <w:rPr>
          <w:rFonts w:ascii="Times New Roman" w:hAnsi="Times New Roman" w:eastAsia="Times New Roman" w:cs="Times New Roman"/>
          <w:b/>
          <w:bCs/>
          <w:color w:val="FF0000"/>
          <w:sz w:val="24"/>
          <w:szCs w:val="24"/>
        </w:rPr>
        <w:t xml:space="preserve">Olgunluk Düzeyi</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1 - Kurumda toplumsal katkı performansının izlenmesine ve değerlendirmesine yönelik mekanizmalar bulunmamaktadır.</w:t>
      </w:r>
    </w:p>
    <w:p>
      <w:pPr>
        <w:widowControl w:val="on"/>
        <w:pBdr/>
        <w:spacing w:before="240" w:after="240" w:line="240" w:lineRule="auto"/>
        <w:ind w:left="0" w:right="0"/>
        <w:jc w:val="left"/>
      </w:pPr>
      <w:r>
        <w:rPr>
          <w:rFonts w:ascii="Times New Roman" w:hAnsi="Times New Roman" w:eastAsia="Times New Roman" w:cs="Times New Roman"/>
          <w:color w:val="000000"/>
          <w:sz w:val="24"/>
          <w:szCs w:val="24"/>
        </w:rPr>
        <w:t xml:space="preserve"> </w:t>
      </w:r>
    </w:p>
    <w:p>
      <w:pPr>
        <w:widowControl w:val="on"/>
        <w:pBdr/>
        <w:spacing w:before="280" w:after="280" w:line="240" w:lineRule="auto"/>
        <w:ind w:left="0" w:right="0"/>
        <w:jc w:val="left"/>
      </w:pPr>
      <w:r>
        <w:rPr>
          <w:rFonts w:ascii="Times New Roman" w:hAnsi="Times New Roman" w:eastAsia="Times New Roman" w:cs="Times New Roman"/>
          <w:b/>
          <w:bCs/>
          <w:color w:val="0000FF"/>
          <w:sz w:val="28"/>
          <w:szCs w:val="28"/>
        </w:rPr>
        <w:t xml:space="preserve">SONUÇ VE DEĞERLENDİRME</w:t>
      </w:r>
    </w:p>
    <w:p>
      <w:pPr>
        <w:widowControl w:val="on"/>
        <w:pBdr/>
        <w:spacing w:before="240" w:after="240" w:line="240" w:lineRule="auto"/>
        <w:ind w:left="0" w:right="0"/>
        <w:jc w:val="both"/>
      </w:pPr>
      <w:r>
        <w:rPr>
          <w:rFonts w:ascii="times new roman" w:hAnsi="times new roman" w:eastAsia="times new roman" w:cs="times new roman"/>
          <w:color w:val="000000"/>
          <w:sz w:val="24"/>
          <w:szCs w:val="24"/>
        </w:rPr>
        <w:t xml:space="preserve">Bu başlıkta, Karadeniz Uygulama ve Araştırma Merkezi </w:t>
      </w:r>
      <w:r>
        <w:rPr>
          <w:rFonts w:ascii="times new roman" w:hAnsi="times new roman" w:eastAsia="times new roman" w:cs="times new roman"/>
          <w:i/>
          <w:iCs/>
          <w:color w:val="000000"/>
          <w:sz w:val="24"/>
          <w:szCs w:val="24"/>
        </w:rPr>
        <w:t xml:space="preserve">Liderlik, Yönetişim ve Kalite</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i/>
          <w:iCs/>
          <w:color w:val="000000"/>
          <w:sz w:val="24"/>
          <w:szCs w:val="24"/>
        </w:rPr>
        <w:t xml:space="preserve">Eğitim ve Öğretim</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i/>
          <w:iCs/>
          <w:color w:val="000000"/>
          <w:sz w:val="24"/>
          <w:szCs w:val="24"/>
        </w:rPr>
        <w:t xml:space="preserve">Araştırma ve Geliştirme </w:t>
      </w:r>
      <w:r>
        <w:rPr>
          <w:rFonts w:ascii="times new roman" w:hAnsi="times new roman" w:eastAsia="times new roman" w:cs="times new roman"/>
          <w:color w:val="000000"/>
          <w:sz w:val="24"/>
          <w:szCs w:val="24"/>
        </w:rPr>
        <w:t xml:space="preserve">ile </w:t>
      </w:r>
      <w:r>
        <w:rPr>
          <w:rFonts w:ascii="times new roman" w:hAnsi="times new roman" w:eastAsia="times new roman" w:cs="times new roman"/>
          <w:i/>
          <w:iCs/>
          <w:color w:val="000000"/>
          <w:sz w:val="24"/>
          <w:szCs w:val="24"/>
        </w:rPr>
        <w:t xml:space="preserve">Toplumsal Katkı </w:t>
      </w:r>
      <w:r>
        <w:rPr>
          <w:rFonts w:ascii="times new roman" w:hAnsi="times new roman" w:eastAsia="times new roman" w:cs="times new roman"/>
          <w:color w:val="000000"/>
          <w:sz w:val="24"/>
          <w:szCs w:val="24"/>
        </w:rPr>
        <w:t xml:space="preserve">başlıkları temelinde değerlendirilmiştir.</w:t>
      </w:r>
    </w:p>
    <w:p>
      <w:pPr>
        <w:widowControl w:val="on"/>
        <w:pBdr/>
        <w:spacing w:before="299" w:after="299" w:line="240" w:lineRule="auto"/>
        <w:ind w:left="0" w:right="0"/>
        <w:jc w:val="left"/>
        <w:outlineLvl w:val="1"/>
      </w:pPr>
      <w:r>
        <w:rPr>
          <w:rFonts w:ascii="times new roman" w:hAnsi="times new roman" w:eastAsia="times new roman" w:cs="times new roman"/>
          <w:b/>
          <w:bCs/>
          <w:color w:val="000000"/>
          <w:sz w:val="24"/>
          <w:szCs w:val="24"/>
        </w:rPr>
        <w:t xml:space="preserve">A.  LİDERLİK, YÖNETİŞİM VE KALİTE</w:t>
      </w:r>
    </w:p>
    <w:p>
      <w:pPr>
        <w:widowControl w:val="on"/>
        <w:pBdr/>
        <w:spacing w:before="240" w:after="240" w:line="240" w:lineRule="auto"/>
        <w:ind w:left="0" w:right="0"/>
        <w:jc w:val="both"/>
      </w:pPr>
      <w:r>
        <w:rPr>
          <w:rFonts w:ascii="times new roman" w:hAnsi="times new roman" w:eastAsia="times new roman" w:cs="times new roman"/>
          <w:b/>
          <w:bCs/>
          <w:color w:val="000000"/>
          <w:sz w:val="24"/>
          <w:szCs w:val="24"/>
        </w:rPr>
        <w:t xml:space="preserve">GÜÇLÜ YÖNLER: </w:t>
      </w:r>
      <w:r>
        <w:rPr>
          <w:rFonts w:ascii="times new roman" w:hAnsi="times new roman" w:eastAsia="times new roman" w:cs="times new roman"/>
          <w:color w:val="000000"/>
          <w:sz w:val="24"/>
          <w:szCs w:val="24"/>
        </w:rPr>
        <w:t xml:space="preserve">Karadeniz Uygulama ve Araştırma Merkezi 2019 yılında faaliyetlerine başlamıştır. Karadeniz bölge tarihi ve kültürü ile ilgili tezli yüksek lisans ve doktora çalışmalarını desteklemek, araştırma projeleri geliştirmek ve uygulamak, ilgili alanındaki araştırmalara ve projelere katılmak ve desteklemek, ulusal ve uluslararası konferanslar, kongreler, sempozyumlar düzenlemek ve bilimsel yayınlar yapmak, kısa ve uzun süreli kurslar ile uzmanlık kazandırmaya yönelik meslek içi eğitim programları düzenlemek, kamu ve özel kesime ücretli veya ücretsiz danışmanlık hizmetleri sunmak, bilimsel nitelikli rapor, bülten, kitap, dergi ve benzeri yayınlar yapmak, ulusal ve uluslararası kuruluşlarla iş birliği oluşturmak merkezin faaliyet alanlarını ve güçlü yönlerini oluşturmaktadır.</w:t>
      </w:r>
    </w:p>
    <w:p>
      <w:pPr>
        <w:widowControl w:val="on"/>
        <w:pBdr/>
        <w:spacing w:before="240" w:after="240" w:line="240" w:lineRule="auto"/>
        <w:ind w:left="0" w:right="0"/>
        <w:jc w:val="both"/>
      </w:pPr>
      <w:r>
        <w:rPr>
          <w:rFonts w:ascii="times new roman" w:hAnsi="times new roman" w:eastAsia="times new roman" w:cs="times new roman"/>
          <w:b/>
          <w:bCs/>
          <w:color w:val="000000"/>
          <w:sz w:val="24"/>
          <w:szCs w:val="24"/>
        </w:rPr>
        <w:t xml:space="preserve">GELİŞTİRMEYE AÇIK YÖNLER: </w:t>
      </w:r>
      <w:r>
        <w:rPr>
          <w:rFonts w:ascii="times new roman" w:hAnsi="times new roman" w:eastAsia="times new roman" w:cs="times new roman"/>
          <w:color w:val="000000"/>
          <w:sz w:val="24"/>
          <w:szCs w:val="24"/>
        </w:rPr>
        <w:t xml:space="preserve">Merkez akademik kadrosuna yeni öğretim üyesi alınarak, dış paydaşlar edinerek, merkeze ait bütçe ile oluşturularak geliştirilmeye açıktır.</w:t>
      </w:r>
    </w:p>
    <w:p>
      <w:pPr>
        <w:widowControl w:val="on"/>
        <w:pBdr/>
        <w:spacing w:before="240" w:after="240" w:line="240" w:lineRule="auto"/>
        <w:ind w:left="0" w:right="0"/>
        <w:jc w:val="both"/>
      </w:pPr>
      <w:r>
        <w:rPr>
          <w:rFonts w:ascii="times new roman" w:hAnsi="times new roman" w:eastAsia="times new roman" w:cs="times new roman"/>
          <w:b/>
          <w:bCs/>
          <w:color w:val="000000"/>
          <w:sz w:val="24"/>
          <w:szCs w:val="24"/>
        </w:rPr>
        <w:t xml:space="preserve">ÖNERİLER: </w:t>
      </w:r>
      <w:r>
        <w:rPr>
          <w:rFonts w:ascii="times new roman" w:hAnsi="times new roman" w:eastAsia="times new roman" w:cs="times new roman"/>
          <w:color w:val="000000"/>
          <w:sz w:val="24"/>
          <w:szCs w:val="24"/>
        </w:rPr>
        <w:t xml:space="preserve">Kadroların geliştirilmesi ve sekreter istihdamına ihtiyaç bulunmaktadır.</w:t>
      </w:r>
    </w:p>
    <w:p>
      <w:pPr>
        <w:widowControl w:val="on"/>
        <w:pBdr/>
        <w:spacing w:before="299" w:after="299" w:line="240" w:lineRule="auto"/>
        <w:ind w:left="0" w:right="0"/>
        <w:jc w:val="left"/>
        <w:outlineLvl w:val="1"/>
      </w:pPr>
      <w:r>
        <w:rPr>
          <w:rFonts w:ascii="times new roman" w:hAnsi="times new roman" w:eastAsia="times new roman" w:cs="times new roman"/>
          <w:b/>
          <w:bCs/>
          <w:color w:val="000000"/>
          <w:sz w:val="24"/>
          <w:szCs w:val="24"/>
        </w:rPr>
        <w:t xml:space="preserve">B.  EĞİTİM VE ÖĞRETİM</w:t>
      </w:r>
    </w:p>
    <w:p>
      <w:pPr>
        <w:widowControl w:val="on"/>
        <w:pBdr/>
        <w:spacing w:before="240" w:after="240" w:line="240" w:lineRule="auto"/>
        <w:ind w:left="0" w:right="0"/>
        <w:jc w:val="both"/>
      </w:pPr>
      <w:r>
        <w:rPr>
          <w:rFonts w:ascii="times new roman" w:hAnsi="times new roman" w:eastAsia="times new roman" w:cs="times new roman"/>
          <w:b/>
          <w:bCs/>
          <w:color w:val="000000"/>
          <w:sz w:val="24"/>
          <w:szCs w:val="24"/>
        </w:rPr>
        <w:t xml:space="preserve">GÜÇLÜ YÖNLER: </w:t>
      </w:r>
      <w:r>
        <w:rPr>
          <w:rFonts w:ascii="times new roman" w:hAnsi="times new roman" w:eastAsia="times new roman" w:cs="times new roman"/>
          <w:color w:val="000000"/>
          <w:sz w:val="24"/>
          <w:szCs w:val="24"/>
        </w:rPr>
        <w:t xml:space="preserve">İlgili başlığa uygun bir mekanizma bölümde söz konusu olmadığından, güçlü bir yön söz konusu değildir.</w:t>
      </w:r>
    </w:p>
    <w:p>
      <w:pPr>
        <w:widowControl w:val="on"/>
        <w:pBdr/>
        <w:spacing w:before="240" w:after="240" w:line="240" w:lineRule="auto"/>
        <w:ind w:left="0" w:right="0"/>
        <w:jc w:val="both"/>
      </w:pPr>
      <w:r>
        <w:rPr>
          <w:rFonts w:ascii="times new roman" w:hAnsi="times new roman" w:eastAsia="times new roman" w:cs="times new roman"/>
          <w:b/>
          <w:bCs/>
          <w:color w:val="000000"/>
          <w:sz w:val="24"/>
          <w:szCs w:val="24"/>
        </w:rPr>
        <w:t xml:space="preserve">GELİŞTİRMEYE AÇIK YÖNLER: </w:t>
      </w:r>
      <w:r>
        <w:rPr>
          <w:rFonts w:ascii="times new roman" w:hAnsi="times new roman" w:eastAsia="times new roman" w:cs="times new roman"/>
          <w:color w:val="000000"/>
          <w:sz w:val="24"/>
          <w:szCs w:val="24"/>
        </w:rPr>
        <w:t xml:space="preserve">Bölüm düzeyinde araştırma süreçlerinin yönetimi ve geliştirme üzerine bir mekanizma söz konusu değildir. Bölümde, kurumun meydana getirdiği mekanizmalar izlenmektedir.</w:t>
      </w:r>
    </w:p>
    <w:p>
      <w:pPr>
        <w:widowControl w:val="on"/>
        <w:pBdr/>
        <w:spacing w:before="240" w:after="240" w:line="240" w:lineRule="auto"/>
        <w:ind w:left="0" w:right="0"/>
        <w:jc w:val="both"/>
      </w:pPr>
      <w:r>
        <w:rPr>
          <w:rFonts w:ascii="times new roman" w:hAnsi="times new roman" w:eastAsia="times new roman" w:cs="times new roman"/>
          <w:b/>
          <w:bCs/>
          <w:color w:val="000000"/>
          <w:sz w:val="24"/>
          <w:szCs w:val="24"/>
        </w:rPr>
        <w:t xml:space="preserve">ÖNERİLER: </w:t>
      </w:r>
      <w:r>
        <w:rPr>
          <w:rFonts w:ascii="times new roman" w:hAnsi="times new roman" w:eastAsia="times new roman" w:cs="times new roman"/>
          <w:color w:val="000000"/>
          <w:sz w:val="24"/>
          <w:szCs w:val="24"/>
        </w:rPr>
        <w:t xml:space="preserve">İlgili başlığa uygun bir mekanizma bölümde söz konusu olmadığından, öneri söz konusu değildir.</w:t>
      </w:r>
    </w:p>
    <w:p>
      <w:pPr>
        <w:widowControl w:val="on"/>
        <w:pBdr/>
        <w:spacing w:before="299" w:after="299" w:line="240" w:lineRule="auto"/>
        <w:ind w:left="0" w:right="0"/>
        <w:jc w:val="left"/>
        <w:outlineLvl w:val="1"/>
      </w:pPr>
      <w:r>
        <w:rPr>
          <w:rFonts w:ascii="times new roman" w:hAnsi="times new roman" w:eastAsia="times new roman" w:cs="times new roman"/>
          <w:b/>
          <w:bCs/>
          <w:color w:val="000000"/>
          <w:sz w:val="24"/>
          <w:szCs w:val="24"/>
        </w:rPr>
        <w:t xml:space="preserve">C.  ARAŞTIRMA VE GELİŞTİRME</w:t>
      </w:r>
    </w:p>
    <w:p>
      <w:pPr>
        <w:widowControl w:val="on"/>
        <w:pBdr/>
        <w:spacing w:before="240" w:after="240" w:line="240" w:lineRule="auto"/>
        <w:ind w:left="0" w:right="0"/>
        <w:jc w:val="both"/>
      </w:pPr>
      <w:r>
        <w:rPr>
          <w:rFonts w:ascii="times new roman" w:hAnsi="times new roman" w:eastAsia="times new roman" w:cs="times new roman"/>
          <w:b/>
          <w:bCs/>
          <w:color w:val="000000"/>
          <w:sz w:val="24"/>
          <w:szCs w:val="24"/>
        </w:rPr>
        <w:t xml:space="preserve">GÜÇLÜ YÖNLER: </w:t>
      </w:r>
      <w:r>
        <w:rPr>
          <w:rFonts w:ascii="times new roman" w:hAnsi="times new roman" w:eastAsia="times new roman" w:cs="times new roman"/>
          <w:color w:val="000000"/>
          <w:sz w:val="24"/>
          <w:szCs w:val="24"/>
        </w:rPr>
        <w:t xml:space="preserve">Karadeniz Uygulama ve Araştırma Merkezi, toplumsal faaliyetleri ile eğitim alanına katkı sağlamaktadır. Güncel ve tarihsel konulara yönelik olarak hazırlanan panel, konferanslar aracılığı ile eğitim faaliyetleri sürdürülmektedir. Ayrıca merkez  Karadeniz bölge tarihi ve kültürü ile ilgili tezli yüksek lisans ve doktora çalışmalarını desteklemek, araştırma projeleri geliştirmek ve uygulamak, ilgili alanındaki araştırmalara ve projelere katılmak ve desteklemek, ulusal ve uluslararası konferanslar, kongreler, sempozyumlar düzenlemek ve bilimsel yayınlar yapmak, kısa ve uzun süreli kurslar ile uzmanlık kazandırmaya yönelik meslek içi eğitim programları düzenlemek, kamu ve özel kesime ücretli veya ücretsiz danışmanlık hizmetleri sunmak, bilimsel nitelikli rapor, bülten, kitap, dergi ve benzeri yayınlar yapmak, ulusal ve uluslararası kuruluşlarla iş birliği oluşturmak merkezimizin faaliyet alanlarını ve güçlü yönlerini oluşturmaktadır.</w:t>
      </w:r>
    </w:p>
    <w:p>
      <w:pPr>
        <w:widowControl w:val="on"/>
        <w:pBdr/>
        <w:spacing w:before="240" w:after="240" w:line="240" w:lineRule="auto"/>
        <w:ind w:left="0" w:right="0"/>
        <w:jc w:val="both"/>
      </w:pPr>
      <w:r>
        <w:rPr>
          <w:rFonts w:ascii="times new roman" w:hAnsi="times new roman" w:eastAsia="times new roman" w:cs="times new roman"/>
          <w:b/>
          <w:bCs/>
          <w:color w:val="000000"/>
          <w:sz w:val="24"/>
          <w:szCs w:val="24"/>
        </w:rPr>
        <w:t xml:space="preserve">GELİŞTİRMEYE AÇIK YÖNLER</w:t>
      </w:r>
      <w:r>
        <w:rPr>
          <w:rFonts w:ascii="times new roman" w:hAnsi="times new roman" w:eastAsia="times new roman" w:cs="times new roman"/>
          <w:color w:val="000000"/>
          <w:sz w:val="24"/>
          <w:szCs w:val="24"/>
        </w:rPr>
        <w:t xml:space="preserve">: Karadeniz Uygulama ve Araştırma Merkezinin geliştirmeye açık en temel yönü, kadrolarının geliştirilmesidir.</w:t>
      </w:r>
    </w:p>
    <w:p>
      <w:pPr>
        <w:widowControl w:val="on"/>
        <w:pBdr/>
        <w:spacing w:before="240" w:after="240" w:line="240" w:lineRule="auto"/>
        <w:ind w:left="0" w:right="0"/>
        <w:jc w:val="both"/>
      </w:pPr>
      <w:r>
        <w:rPr>
          <w:rFonts w:ascii="times new roman" w:hAnsi="times new roman" w:eastAsia="times new roman" w:cs="times new roman"/>
          <w:b/>
          <w:bCs/>
          <w:color w:val="000000"/>
          <w:sz w:val="24"/>
          <w:szCs w:val="24"/>
        </w:rPr>
        <w:t xml:space="preserve">ÖNERİLER: </w:t>
      </w:r>
      <w:r>
        <w:rPr>
          <w:rFonts w:ascii="times new roman" w:hAnsi="times new roman" w:eastAsia="times new roman" w:cs="times new roman"/>
          <w:color w:val="000000"/>
          <w:sz w:val="24"/>
          <w:szCs w:val="24"/>
        </w:rPr>
        <w:t xml:space="preserve">Karadeniz Uygulama ve Araştırma Merkezinün özgün ve kaliteli bir seviyeye gelmesinde merkezdeki eksikliklerinin tamamlanması etkili olacaktır.</w:t>
      </w:r>
    </w:p>
    <w:p>
      <w:pPr>
        <w:widowControl w:val="on"/>
        <w:pBdr/>
        <w:spacing w:before="299" w:after="299" w:line="240" w:lineRule="auto"/>
        <w:ind w:left="0" w:right="0"/>
        <w:jc w:val="left"/>
        <w:outlineLvl w:val="1"/>
      </w:pPr>
      <w:r>
        <w:rPr>
          <w:rFonts w:ascii="times new roman" w:hAnsi="times new roman" w:eastAsia="times new roman" w:cs="times new roman"/>
          <w:b/>
          <w:bCs/>
          <w:color w:val="000000"/>
          <w:sz w:val="24"/>
          <w:szCs w:val="24"/>
        </w:rPr>
        <w:t xml:space="preserve">D. TOPLUMSAL KATKI</w:t>
      </w:r>
    </w:p>
    <w:p>
      <w:pPr>
        <w:widowControl w:val="on"/>
        <w:pBdr/>
        <w:spacing w:before="240" w:after="240" w:line="240" w:lineRule="auto"/>
        <w:ind w:left="0" w:right="0"/>
        <w:jc w:val="both"/>
      </w:pPr>
      <w:r>
        <w:rPr>
          <w:rFonts w:ascii="times new roman" w:hAnsi="times new roman" w:eastAsia="times new roman" w:cs="times new roman"/>
          <w:b/>
          <w:bCs/>
          <w:color w:val="000000"/>
          <w:sz w:val="24"/>
          <w:szCs w:val="24"/>
        </w:rPr>
        <w:t xml:space="preserve">GÜÇLÜ YÖNLER: </w:t>
      </w:r>
      <w:r>
        <w:rPr>
          <w:rFonts w:ascii="times new roman" w:hAnsi="times new roman" w:eastAsia="times new roman" w:cs="times new roman"/>
          <w:color w:val="000000"/>
          <w:sz w:val="24"/>
          <w:szCs w:val="24"/>
        </w:rPr>
        <w:t xml:space="preserve">Karadeniz Uygulama ve Araştırma Merkezi, panel, konferans gibi faaliyetleri ile toplumsal katkı sağlamaktadır.</w:t>
      </w:r>
    </w:p>
    <w:p>
      <w:pPr>
        <w:widowControl w:val="on"/>
        <w:pBdr/>
        <w:spacing w:before="240" w:after="240" w:line="240" w:lineRule="auto"/>
        <w:ind w:left="0" w:right="0"/>
        <w:jc w:val="both"/>
      </w:pPr>
      <w:r>
        <w:rPr>
          <w:rFonts w:ascii="times new roman" w:hAnsi="times new roman" w:eastAsia="times new roman" w:cs="times new roman"/>
          <w:b/>
          <w:bCs/>
          <w:color w:val="000000"/>
          <w:sz w:val="24"/>
          <w:szCs w:val="24"/>
        </w:rPr>
        <w:t xml:space="preserve">GELİŞTİRMEYE AÇIK YÖNLER</w:t>
      </w:r>
      <w:r>
        <w:rPr>
          <w:rFonts w:ascii="times new roman" w:hAnsi="times new roman" w:eastAsia="times new roman" w:cs="times new roman"/>
          <w:color w:val="000000"/>
          <w:sz w:val="24"/>
          <w:szCs w:val="24"/>
        </w:rPr>
        <w:t xml:space="preserve">: İç ve dış paydaşlar edinilerek faaliyetlerin artırılmasıdır.</w:t>
      </w:r>
    </w:p>
    <w:p>
      <w:pPr>
        <w:widowControl w:val="on"/>
        <w:pBdr/>
        <w:spacing w:before="240" w:after="240" w:line="240" w:lineRule="auto"/>
        <w:ind w:left="0" w:right="0"/>
        <w:jc w:val="both"/>
      </w:pPr>
      <w:r>
        <w:rPr>
          <w:rFonts w:ascii="times new roman" w:hAnsi="times new roman" w:eastAsia="times new roman" w:cs="times new roman"/>
          <w:b/>
          <w:bCs/>
          <w:color w:val="000000"/>
          <w:sz w:val="24"/>
          <w:szCs w:val="24"/>
        </w:rPr>
        <w:t xml:space="preserve">ÖNERİLER: </w:t>
      </w:r>
      <w:r>
        <w:rPr>
          <w:rFonts w:ascii="times new roman" w:hAnsi="times new roman" w:eastAsia="times new roman" w:cs="times new roman"/>
          <w:color w:val="000000"/>
          <w:sz w:val="24"/>
          <w:szCs w:val="24"/>
        </w:rPr>
        <w:t xml:space="preserve">Karadeniz Uygulama ve Araştırma Merkezinin özgün ve kaliteli bir seviyeye gelmesinde merkezdeki eksikliklerinin tamamlanması etkili olacaktır.</w:t>
      </w:r>
    </w:p>
    <w:p>
      <w:r>
        <w:br w:type="page"/>
      </w:r>
    </w:p>
    <w:p>
      <w:pPr>
        <w:widowControl w:val="on"/>
        <w:pBdr/>
        <w:spacing w:before="281" w:after="281" w:line="240" w:lineRule="auto"/>
        <w:ind w:left="0" w:right="0"/>
        <w:jc w:val="left"/>
        <w:outlineLvl w:val="2"/>
      </w:pPr>
      <w:r>
        <w:rPr>
          <w:b/>
          <w:bCs/>
          <w:color w:val="000000"/>
          <w:sz w:val="28"/>
          <w:szCs w:val="28"/>
        </w:rPr>
        <w:t xml:space="preserve">BİRİM İÇ DEĞERLENDİRME RAPORU BEYANI</w:t>
      </w:r>
    </w:p>
    <w:p/>
    <w:p/>
    <w:p>
      <w:pPr>
        <w:widowControl w:val="on"/>
        <w:pBdr/>
        <w:spacing w:before="240" w:after="240" w:line="240" w:lineRule="auto"/>
        <w:ind w:left="0" w:right="0"/>
        <w:jc w:val="both"/>
      </w:pPr>
      <w:r>
        <w:rPr>
          <w:color w:val="000000"/>
          <w:sz w:val="24"/>
          <w:szCs w:val="24"/>
        </w:rPr>
        <w:t xml:space="preserve">         Bu Raporda yer alan bilgilerin ve kanıtların güvenilir, doğru ve tam olduğunu, Rapor içeriğinde yer alan bilgilerin 2025 yılı içerisinde gerçekleşen faaliyetler ve uygulamalara dayandığını, Raporun YÖKAK tarafından belirtilen yazım kurallarına ve içeriğine uygun olduğunu, kanıt kullanımında KVKK hükümlerine dikkat edildiğini beyan ve taahhüt ederim.</w:t>
      </w:r>
    </w:p>
    <w:p/>
    <w:p/>
    <w:p>
      <w:pPr>
        <w:widowControl w:val="on"/>
        <w:pBdr/>
        <w:spacing w:before="240" w:after="240" w:line="240" w:lineRule="auto"/>
        <w:ind w:left="0" w:right="0"/>
        <w:jc w:val="right"/>
      </w:pPr>
      <w:r>
        <w:rPr>
          <w:color w:val="000000"/>
          <w:sz w:val="24"/>
          <w:szCs w:val="24"/>
        </w:rPr>
        <w:t xml:space="preserve">01.07.2026</w:t>
      </w:r>
    </w:p>
    <w:p>
      <w:pPr>
        <w:widowControl w:val="on"/>
        <w:pBdr/>
        <w:spacing w:before="240" w:after="240" w:line="240" w:lineRule="auto"/>
        <w:ind w:left="0" w:right="0"/>
        <w:jc w:val="right"/>
      </w:pPr>
      <w:r>
        <w:rPr>
          <w:color w:val="000000"/>
          <w:sz w:val="24"/>
          <w:szCs w:val="24"/>
        </w:rPr>
        <w:t xml:space="preserve">Prof. Dr. Mehmet Akpınar</w:t>
      </w:r>
    </w:p>
    <w:p>
      <w:pPr>
        <w:widowControl w:val="on"/>
        <w:pBdr/>
        <w:spacing w:before="240" w:after="240" w:line="240" w:lineRule="auto"/>
        <w:ind w:left="0" w:right="0"/>
        <w:jc w:val="right"/>
      </w:pPr>
      <w:r>
        <w:rPr>
          <w:color w:val="000000"/>
          <w:sz w:val="24"/>
          <w:szCs w:val="24"/>
        </w:rPr>
        <w:t xml:space="preserve">Uygulama Ve Araştırma Merkezi Müdürü</w:t>
      </w:r>
    </w:p>
    <w:sectPr xmlns:w="http://schemas.openxmlformats.org/wordprocessingml/2006/main" w:rsidR="00AC197E" w:rsidRPr="00DF064E" w:rsidSect="000F6147">
      <w:pgSz w:w="11906" w:h="16838" w:orient="portrait" w:code="9"/>
      <w:pgMar w:top="1417" w:right="1701" w:bottom="1417" w:left="1701"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p14="http://schemas.microsoft.com/office/word/2010/wordprocessingDrawing" xmlns:w10="urn:schemas-microsoft-com:office:word" xmlns:w14="http://schemas.microsoft.com/office/word/2010/wordml" xmlns:w15="http://schemas.microsoft.com/office/word/2012/wordml" xmlns:w="http://schemas.openxmlformats.org/wordprocessingml/2006/main" xmlns:wne="http://schemas.microsoft.com/office/word/2006/wordml" mc:Ignorable="w14 w15 wp14">
  <w:abstractNum w:abstractNumId="23993">
    <w:multiLevelType w:val="hybridMultilevel"/>
    <w:lvl w:ilvl="0" w:tplc="77923947">
      <w:start w:val="1"/>
      <w:numFmt w:val="decimal"/>
      <w:lvlText w:val="%1."/>
      <w:lvlJc w:val="left"/>
      <w:pPr>
        <w:ind w:left="720" w:hanging="360"/>
      </w:pPr>
    </w:lvl>
    <w:lvl w:ilvl="1" w:tplc="77923947" w:tentative="1">
      <w:start w:val="1"/>
      <w:numFmt w:val="lowerLetter"/>
      <w:lvlText w:val="%2."/>
      <w:lvlJc w:val="left"/>
      <w:pPr>
        <w:ind w:left="1440" w:hanging="360"/>
      </w:pPr>
    </w:lvl>
    <w:lvl w:ilvl="2" w:tplc="77923947" w:tentative="1">
      <w:start w:val="1"/>
      <w:numFmt w:val="lowerRoman"/>
      <w:lvlText w:val="%3."/>
      <w:lvlJc w:val="right"/>
      <w:pPr>
        <w:ind w:left="2160" w:hanging="180"/>
      </w:pPr>
    </w:lvl>
    <w:lvl w:ilvl="3" w:tplc="77923947" w:tentative="1">
      <w:start w:val="1"/>
      <w:numFmt w:val="decimal"/>
      <w:lvlText w:val="%4."/>
      <w:lvlJc w:val="left"/>
      <w:pPr>
        <w:ind w:left="2880" w:hanging="360"/>
      </w:pPr>
    </w:lvl>
    <w:lvl w:ilvl="4" w:tplc="77923947" w:tentative="1">
      <w:start w:val="1"/>
      <w:numFmt w:val="lowerLetter"/>
      <w:lvlText w:val="%5."/>
      <w:lvlJc w:val="left"/>
      <w:pPr>
        <w:ind w:left="3600" w:hanging="360"/>
      </w:pPr>
    </w:lvl>
    <w:lvl w:ilvl="5" w:tplc="77923947" w:tentative="1">
      <w:start w:val="1"/>
      <w:numFmt w:val="lowerRoman"/>
      <w:lvlText w:val="%6."/>
      <w:lvlJc w:val="right"/>
      <w:pPr>
        <w:ind w:left="4320" w:hanging="180"/>
      </w:pPr>
    </w:lvl>
    <w:lvl w:ilvl="6" w:tplc="77923947" w:tentative="1">
      <w:start w:val="1"/>
      <w:numFmt w:val="decimal"/>
      <w:lvlText w:val="%7."/>
      <w:lvlJc w:val="left"/>
      <w:pPr>
        <w:ind w:left="5040" w:hanging="360"/>
      </w:pPr>
    </w:lvl>
    <w:lvl w:ilvl="7" w:tplc="77923947" w:tentative="1">
      <w:start w:val="1"/>
      <w:numFmt w:val="lowerLetter"/>
      <w:lvlText w:val="%8."/>
      <w:lvlJc w:val="left"/>
      <w:pPr>
        <w:ind w:left="5760" w:hanging="360"/>
      </w:pPr>
    </w:lvl>
    <w:lvl w:ilvl="8" w:tplc="77923947" w:tentative="1">
      <w:start w:val="1"/>
      <w:numFmt w:val="lowerRoman"/>
      <w:lvlText w:val="%9."/>
      <w:lvlJc w:val="right"/>
      <w:pPr>
        <w:ind w:left="6480" w:hanging="180"/>
      </w:pPr>
    </w:lvl>
  </w:abstractNum>
  <w:abstractNum w:abstractNumId="17525">
    <w:multiLevelType w:val="hybridMultilevel"/>
    <w:lvl w:ilvl="0" w:tplc="276923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525">
    <w:abstractNumId w:val="17525"/>
  </w:num>
  <w:num w:numId="23993">
    <w:abstractNumId w:val="239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
<Relationships xmlns="http://schemas.openxmlformats.org/package/2006/relationships"></Relationships>
</file>

<file path=word/_rels/document.xml.rels><?xml version="1.0" encoding="UTF-8" standalone="yes"?>
<Relationships xmlns="http://schemas.openxmlformats.org/package/2006/relationships">
<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 Id="rId10" Type="http://schemas.openxmlformats.org/officeDocument/2006/relationships/comments" Target="comments.xml"/>
<Relationship Id="rId902845161" Type="http://schemas.microsoft.com/office/2011/relationships/commentsExtended" Target="commentsExtended.xml"/><Relationship Id="rId11416a9eb1a943520" Type="http://schemas.openxmlformats.org/officeDocument/2006/relationships/hyperlink" Target="mailto:makpinar@trabzon.edu.tr" TargetMode="External"/><Relationship Id="rId42116a9eb1a943be1" Type="http://schemas.openxmlformats.org/officeDocument/2006/relationships/hyperlink" Target="https://katam.trabzon.edu.tr/S/2395/yonetim" TargetMode="External"/><Relationship Id="rId35646a9eb1a94443b" Type="http://schemas.openxmlformats.org/officeDocument/2006/relationships/hyperlink" Target="https://katam.trabzon.edu.tr/S/5945/misyon-vizyon" TargetMode="External"/></Relationships>

</file>

<file path=word/_rels/endnotes.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